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04406326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E65EBC">
        <w:rPr>
          <w:color w:val="000099"/>
          <w:sz w:val="27"/>
          <w:szCs w:val="27"/>
        </w:rPr>
        <w:t>272</w:t>
      </w:r>
      <w:r w:rsidR="00327D48">
        <w:rPr>
          <w:color w:val="000099"/>
          <w:sz w:val="27"/>
          <w:szCs w:val="27"/>
        </w:rPr>
        <w:t>-2610</w:t>
      </w:r>
      <w:r w:rsidR="00B467AE">
        <w:rPr>
          <w:color w:val="000099"/>
          <w:sz w:val="27"/>
          <w:szCs w:val="27"/>
        </w:rPr>
        <w:t>/202</w:t>
      </w:r>
      <w:r w:rsidR="00E65EBC">
        <w:rPr>
          <w:color w:val="000099"/>
          <w:sz w:val="27"/>
          <w:szCs w:val="27"/>
        </w:rPr>
        <w:t>5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59F1F42F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05 марта 2025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D044BD" w:rsidP="008C6E70" w14:paraId="4FB93AE3" w14:textId="7966CA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каб.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 w:rsidR="00E65EBC">
        <w:rPr>
          <w:color w:val="000099"/>
          <w:sz w:val="28"/>
          <w:szCs w:val="28"/>
        </w:rPr>
        <w:t>Тулаева Шерзода Авазовича</w:t>
      </w:r>
      <w:r w:rsidR="00D43E87">
        <w:rPr>
          <w:color w:val="000099"/>
          <w:sz w:val="28"/>
          <w:szCs w:val="28"/>
        </w:rPr>
        <w:t xml:space="preserve">, родившегося </w:t>
      </w:r>
      <w:r w:rsidR="007D2D21">
        <w:rPr>
          <w:color w:val="000099"/>
          <w:sz w:val="28"/>
          <w:szCs w:val="28"/>
        </w:rPr>
        <w:t>***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>об административном правонарушении, предусмотренном ч. 4 ст. 12.15 КоАП РФ,</w:t>
      </w:r>
    </w:p>
    <w:p w:rsidR="006B4580" w:rsidRPr="00004921" w:rsidP="008C6E70" w14:paraId="50463893" w14:textId="1014EE22">
      <w:pPr>
        <w:ind w:firstLine="567"/>
        <w:jc w:val="both"/>
        <w:rPr>
          <w:sz w:val="28"/>
          <w:szCs w:val="28"/>
        </w:rPr>
      </w:pPr>
      <w:r w:rsidRPr="00004921">
        <w:rPr>
          <w:sz w:val="28"/>
          <w:szCs w:val="28"/>
        </w:rPr>
        <w:t xml:space="preserve"> </w:t>
      </w: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651D6B" w:rsidP="00252CEF" w14:paraId="636D1ED0" w14:textId="1448A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16.12</w:t>
      </w:r>
      <w:r w:rsidR="00227740">
        <w:rPr>
          <w:sz w:val="28"/>
          <w:szCs w:val="28"/>
        </w:rPr>
        <w:t>.2024</w:t>
      </w:r>
      <w:r w:rsidR="008C6E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>
        <w:rPr>
          <w:sz w:val="28"/>
          <w:szCs w:val="28"/>
        </w:rPr>
        <w:t>20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>22</w:t>
      </w:r>
      <w:r w:rsidR="00D43E87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>км а/д</w:t>
      </w:r>
      <w:r w:rsidR="00D43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 404 </w:t>
      </w:r>
      <w:r w:rsidR="00801DED">
        <w:rPr>
          <w:sz w:val="28"/>
          <w:szCs w:val="28"/>
        </w:rPr>
        <w:t>Тюмень-</w:t>
      </w:r>
      <w:r>
        <w:rPr>
          <w:sz w:val="28"/>
          <w:szCs w:val="28"/>
        </w:rPr>
        <w:t>Тобольск-</w:t>
      </w:r>
      <w:r w:rsidR="00801DED">
        <w:rPr>
          <w:sz w:val="28"/>
          <w:szCs w:val="28"/>
        </w:rPr>
        <w:t>Ханты-Мансийск</w:t>
      </w:r>
      <w:r w:rsidR="00AE74E3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подъезд к г. Сургуту</w:t>
      </w:r>
      <w:r w:rsidR="00C57B1D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Тулаев Ш.А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227740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управляя </w:t>
      </w:r>
      <w:r w:rsidR="00D044BD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 xml:space="preserve">Газель 3790 г/н </w:t>
      </w:r>
      <w:r w:rsidR="007D2D21">
        <w:rPr>
          <w:sz w:val="28"/>
          <w:szCs w:val="28"/>
        </w:rPr>
        <w:t>**</w:t>
      </w:r>
      <w:r w:rsidR="00AE74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двигался со стороны г. Сургута в направлении </w:t>
      </w:r>
      <w:r w:rsidR="00D044B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Тюмени, совершил обгон Газели г/н </w:t>
      </w:r>
      <w:r w:rsidR="007D2D21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AE74E3">
        <w:rPr>
          <w:sz w:val="28"/>
          <w:szCs w:val="28"/>
        </w:rPr>
        <w:t>в зоне действия дорожного знака 3.20 «Обгон запрещен»</w:t>
      </w:r>
      <w:r w:rsidR="00801D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выездом на полосу автодороги, предназначенную для встречного движения, </w:t>
      </w:r>
      <w:r>
        <w:rPr>
          <w:sz w:val="28"/>
          <w:szCs w:val="28"/>
        </w:rPr>
        <w:t>чем нарушил п. 1.3, 9.1.1 ПДД РФ.</w:t>
      </w:r>
    </w:p>
    <w:p w:rsidR="00C97D79" w:rsidRPr="001D6321" w:rsidP="00C97D79" w14:paraId="42811B76" w14:textId="5ED6173B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99"/>
          <w:sz w:val="28"/>
          <w:szCs w:val="28"/>
        </w:rPr>
        <w:t>Тулаев Ш.А</w:t>
      </w:r>
      <w:r w:rsidR="004B11A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97D79">
        <w:rPr>
          <w:color w:val="000099"/>
          <w:spacing w:val="3"/>
          <w:sz w:val="28"/>
          <w:szCs w:val="28"/>
        </w:rPr>
        <w:t xml:space="preserve"> </w:t>
      </w:r>
      <w:r w:rsidRPr="00D044BD" w:rsidR="00D044BD">
        <w:rPr>
          <w:color w:val="000000"/>
          <w:sz w:val="28"/>
          <w:szCs w:val="28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 w:rsidRPr="00FC785B" w:rsidR="00D044BD">
        <w:rPr>
          <w:color w:val="000000"/>
          <w:sz w:val="27"/>
          <w:szCs w:val="27"/>
        </w:rPr>
        <w:t xml:space="preserve"> </w:t>
      </w:r>
      <w:r w:rsidRPr="00FC785B" w:rsidR="00D044BD">
        <w:rPr>
          <w:color w:val="000099"/>
          <w:spacing w:val="3"/>
          <w:sz w:val="27"/>
          <w:szCs w:val="27"/>
        </w:rPr>
        <w:t xml:space="preserve">      </w:t>
      </w:r>
      <w:r w:rsidR="00614182">
        <w:rPr>
          <w:color w:val="000099"/>
          <w:spacing w:val="3"/>
          <w:sz w:val="28"/>
          <w:szCs w:val="28"/>
        </w:rPr>
        <w:t xml:space="preserve"> </w:t>
      </w:r>
    </w:p>
    <w:p w:rsidR="00E65EBC" w:rsidP="00E64304" w14:paraId="09B48B05" w14:textId="515022F5">
      <w:pPr>
        <w:ind w:firstLine="567"/>
        <w:jc w:val="both"/>
        <w:rPr>
          <w:color w:val="000000"/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Тулаева Ш.А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7D2D21">
        <w:rPr>
          <w:color w:val="000000"/>
          <w:sz w:val="28"/>
          <w:szCs w:val="28"/>
        </w:rPr>
        <w:t>****</w:t>
      </w:r>
      <w:r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реестром правонарушений.</w:t>
      </w:r>
    </w:p>
    <w:p w:rsidR="00E27E8E" w:rsidRPr="008B3937" w:rsidP="00E27E8E" w14:paraId="56D68C42" w14:textId="75C1A1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D044BD" w:rsidP="00E27E8E" w14:paraId="3CE4F011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</w:t>
      </w:r>
    </w:p>
    <w:p w:rsidR="00E27E8E" w:rsidRPr="00276E16" w:rsidP="00E27E8E" w14:paraId="5B8EAA1D" w14:textId="35DA8EE6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276E16" w:rsidP="00276E16" w14:paraId="6C750223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37387D" w:rsidRPr="00276E16" w:rsidP="0037387D" w14:paraId="0D34E6C9" w14:textId="7B6F9FF6">
      <w:pPr>
        <w:ind w:firstLine="567"/>
        <w:jc w:val="both"/>
        <w:rPr>
          <w:sz w:val="28"/>
          <w:szCs w:val="28"/>
        </w:rPr>
      </w:pPr>
      <w:r>
        <w:rPr>
          <w:color w:val="040C28"/>
          <w:sz w:val="28"/>
          <w:szCs w:val="28"/>
        </w:rPr>
        <w:t>Исходя из п</w:t>
      </w:r>
      <w:r w:rsidRPr="00276E16">
        <w:rPr>
          <w:color w:val="040C28"/>
          <w:sz w:val="28"/>
          <w:szCs w:val="28"/>
        </w:rPr>
        <w:t>. 9.1(1</w:t>
      </w:r>
      <w:r w:rsidRPr="00276E16">
        <w:rPr>
          <w:color w:val="202124"/>
          <w:sz w:val="28"/>
          <w:szCs w:val="28"/>
          <w:shd w:val="clear" w:color="auto" w:fill="FFFFFF"/>
        </w:rPr>
        <w:t>) ПДД РФ</w:t>
      </w:r>
      <w:r>
        <w:rPr>
          <w:color w:val="202124"/>
          <w:sz w:val="28"/>
          <w:szCs w:val="28"/>
          <w:shd w:val="clear" w:color="auto" w:fill="FFFFFF"/>
        </w:rPr>
        <w:t>,</w:t>
      </w:r>
      <w:r w:rsidRPr="00276E16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н</w:t>
      </w:r>
      <w:r w:rsidRPr="00276E16">
        <w:rPr>
          <w:color w:val="202124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3C1090" w:rsidP="000C696A" w14:paraId="2FFD9DB2" w14:textId="4DBD55C7">
      <w:pPr>
        <w:ind w:firstLine="567"/>
        <w:jc w:val="both"/>
        <w:rPr>
          <w:sz w:val="28"/>
          <w:szCs w:val="28"/>
        </w:rPr>
      </w:pPr>
      <w:r w:rsidRPr="000C696A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="00D044BD">
          <w:rPr>
            <w:rStyle w:val="Hyperlink"/>
            <w:sz w:val="28"/>
            <w:szCs w:val="28"/>
            <w:u w:val="none"/>
          </w:rPr>
          <w:t>о</w:t>
        </w:r>
        <w:r w:rsidRPr="000C696A">
          <w:rPr>
            <w:rStyle w:val="Hyperlink"/>
            <w:sz w:val="28"/>
            <w:szCs w:val="28"/>
            <w:u w:val="none"/>
          </w:rPr>
          <w:t>пределении</w:t>
        </w:r>
      </w:hyperlink>
      <w:r w:rsidRPr="000C696A">
        <w:rPr>
          <w:sz w:val="28"/>
          <w:szCs w:val="28"/>
        </w:rPr>
        <w:t xml:space="preserve"> от 18</w:t>
      </w:r>
      <w:r w:rsidR="00D044BD">
        <w:rPr>
          <w:sz w:val="28"/>
          <w:szCs w:val="28"/>
        </w:rPr>
        <w:t>.01.</w:t>
      </w:r>
      <w:r w:rsidRPr="000C696A">
        <w:rPr>
          <w:sz w:val="28"/>
          <w:szCs w:val="28"/>
        </w:rPr>
        <w:t xml:space="preserve">2011 г. </w:t>
      </w:r>
      <w:r w:rsidR="00D044BD">
        <w:rPr>
          <w:sz w:val="28"/>
          <w:szCs w:val="28"/>
        </w:rPr>
        <w:t>№</w:t>
      </w:r>
      <w:r w:rsidRPr="000C696A">
        <w:rPr>
          <w:sz w:val="28"/>
          <w:szCs w:val="28"/>
        </w:rPr>
        <w:t xml:space="preserve"> 6-О-О (а также, в </w:t>
      </w:r>
      <w:hyperlink r:id="rId7" w:history="1">
        <w:r w:rsidR="00D044BD">
          <w:rPr>
            <w:rStyle w:val="Hyperlink"/>
            <w:color w:val="auto"/>
            <w:sz w:val="28"/>
            <w:szCs w:val="28"/>
            <w:u w:val="none"/>
          </w:rPr>
          <w:t>о</w:t>
        </w:r>
        <w:r w:rsidRPr="000C696A">
          <w:rPr>
            <w:rStyle w:val="Hyperlink"/>
            <w:color w:val="auto"/>
            <w:sz w:val="28"/>
            <w:szCs w:val="28"/>
            <w:u w:val="none"/>
          </w:rPr>
          <w:t>пределении</w:t>
        </w:r>
      </w:hyperlink>
      <w:r w:rsidRPr="000C696A">
        <w:rPr>
          <w:sz w:val="28"/>
          <w:szCs w:val="28"/>
        </w:rPr>
        <w:t xml:space="preserve"> от </w:t>
      </w:r>
      <w:r w:rsidR="00D044BD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D044BD">
        <w:rPr>
          <w:sz w:val="28"/>
          <w:szCs w:val="28"/>
        </w:rPr>
        <w:t>.12.2010 г. №</w:t>
      </w:r>
      <w:r w:rsidRPr="000C696A">
        <w:rPr>
          <w:sz w:val="28"/>
          <w:szCs w:val="28"/>
        </w:rPr>
        <w:t xml:space="preserve">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Ко</w:t>
      </w:r>
      <w:r w:rsidR="00D044BD">
        <w:rPr>
          <w:sz w:val="28"/>
          <w:szCs w:val="28"/>
        </w:rPr>
        <w:t xml:space="preserve">АП РФ </w:t>
      </w:r>
      <w:r w:rsidRPr="003C1090">
        <w:rPr>
          <w:sz w:val="28"/>
          <w:szCs w:val="28"/>
        </w:rPr>
        <w:t xml:space="preserve">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E27E8E" w:rsidP="003C1090" w14:paraId="2F9777D4" w14:textId="1381F9BE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D044BD" w:rsidR="00D044BD">
        <w:rPr>
          <w:sz w:val="28"/>
          <w:szCs w:val="28"/>
        </w:rPr>
        <w:t xml:space="preserve"> </w:t>
      </w:r>
      <w:r w:rsidRPr="003C1090" w:rsidR="00D044BD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40057368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E65EBC">
        <w:rPr>
          <w:color w:val="000099"/>
          <w:sz w:val="28"/>
          <w:szCs w:val="28"/>
        </w:rPr>
        <w:t>Тулаева Ш.А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614182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D044BD" w:rsidRPr="00D044BD" w:rsidP="00D044BD" w14:paraId="7A9B08F5" w14:textId="0B827965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 xml:space="preserve">не имеется. </w:t>
      </w:r>
      <w:r w:rsidRPr="00D044BD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Тулаевым Ш.А</w:t>
      </w:r>
      <w:r w:rsidRPr="00D044BD">
        <w:rPr>
          <w:sz w:val="28"/>
          <w:szCs w:val="28"/>
        </w:rPr>
        <w:t>. вины, раскаяние в содеянном. Обстоятельством, отягчающим административную ответственность, является повторное совершение им однородного административного правонарушения.</w:t>
      </w:r>
    </w:p>
    <w:p w:rsidR="00E27E8E" w:rsidRPr="003C1090" w:rsidP="00D044BD" w14:paraId="0FE3856A" w14:textId="2777DA28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 xml:space="preserve">, </w:t>
      </w:r>
      <w:r w:rsidR="00D044BD">
        <w:rPr>
          <w:sz w:val="28"/>
          <w:szCs w:val="28"/>
        </w:rPr>
        <w:t xml:space="preserve">отношение последнего к содеянному, </w:t>
      </w:r>
      <w:r w:rsidRPr="003C1090">
        <w:rPr>
          <w:sz w:val="28"/>
          <w:szCs w:val="28"/>
        </w:rPr>
        <w:t>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E65EBC">
        <w:rPr>
          <w:color w:val="000099"/>
          <w:sz w:val="28"/>
          <w:szCs w:val="28"/>
        </w:rPr>
        <w:t>Тулаеву Ш.А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Руководствуясь ст.ст.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07EB2EB4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Тулаева Шерзода Авазовича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614182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2E8A22EE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="00F65AAB">
        <w:rPr>
          <w:sz w:val="28"/>
          <w:szCs w:val="28"/>
        </w:rPr>
        <w:t>10</w:t>
      </w:r>
      <w:r w:rsidR="00327D4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6008D6CF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327D4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E65EBC">
        <w:rPr>
          <w:sz w:val="28"/>
          <w:szCs w:val="28"/>
        </w:rPr>
        <w:t>дней</w:t>
      </w:r>
      <w:r w:rsidRPr="009B10A6">
        <w:rPr>
          <w:sz w:val="28"/>
          <w:szCs w:val="28"/>
        </w:rPr>
        <w:t xml:space="preserve">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1"/>
      <w:footerReference w:type="default" r:id="rId12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21">
          <w:rPr>
            <w:noProof/>
          </w:rPr>
          <w:t>3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4C39"/>
    <w:rsid w:val="000C4FBC"/>
    <w:rsid w:val="000C696A"/>
    <w:rsid w:val="000D4007"/>
    <w:rsid w:val="000E5B06"/>
    <w:rsid w:val="001703B0"/>
    <w:rsid w:val="001866A2"/>
    <w:rsid w:val="001A4B23"/>
    <w:rsid w:val="001D058E"/>
    <w:rsid w:val="001D6321"/>
    <w:rsid w:val="001F276B"/>
    <w:rsid w:val="00220ED4"/>
    <w:rsid w:val="00227740"/>
    <w:rsid w:val="00252CEF"/>
    <w:rsid w:val="00271956"/>
    <w:rsid w:val="00276E16"/>
    <w:rsid w:val="002C5206"/>
    <w:rsid w:val="00306338"/>
    <w:rsid w:val="00327D48"/>
    <w:rsid w:val="003553AE"/>
    <w:rsid w:val="00362995"/>
    <w:rsid w:val="003634CF"/>
    <w:rsid w:val="0037387D"/>
    <w:rsid w:val="0039380C"/>
    <w:rsid w:val="003C1090"/>
    <w:rsid w:val="00413207"/>
    <w:rsid w:val="00446F5E"/>
    <w:rsid w:val="004A4A6E"/>
    <w:rsid w:val="004B11A0"/>
    <w:rsid w:val="004C31D7"/>
    <w:rsid w:val="004F311B"/>
    <w:rsid w:val="0057047A"/>
    <w:rsid w:val="005A5941"/>
    <w:rsid w:val="005B719D"/>
    <w:rsid w:val="005E75F6"/>
    <w:rsid w:val="00614182"/>
    <w:rsid w:val="006302EB"/>
    <w:rsid w:val="00651D6B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7D2D21"/>
    <w:rsid w:val="00801DED"/>
    <w:rsid w:val="0083037A"/>
    <w:rsid w:val="00835377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11031"/>
    <w:rsid w:val="00AE49B3"/>
    <w:rsid w:val="00AE74E3"/>
    <w:rsid w:val="00B2280F"/>
    <w:rsid w:val="00B32066"/>
    <w:rsid w:val="00B467AE"/>
    <w:rsid w:val="00B54DF8"/>
    <w:rsid w:val="00BC0676"/>
    <w:rsid w:val="00BD6424"/>
    <w:rsid w:val="00C57B1D"/>
    <w:rsid w:val="00C61EE7"/>
    <w:rsid w:val="00C94B85"/>
    <w:rsid w:val="00C97D79"/>
    <w:rsid w:val="00CB0605"/>
    <w:rsid w:val="00CD3155"/>
    <w:rsid w:val="00D01A46"/>
    <w:rsid w:val="00D044BD"/>
    <w:rsid w:val="00D15C6C"/>
    <w:rsid w:val="00D43E87"/>
    <w:rsid w:val="00D57A64"/>
    <w:rsid w:val="00D76B90"/>
    <w:rsid w:val="00DB7D32"/>
    <w:rsid w:val="00DC144E"/>
    <w:rsid w:val="00E27E8E"/>
    <w:rsid w:val="00E63043"/>
    <w:rsid w:val="00E64304"/>
    <w:rsid w:val="00E65EBC"/>
    <w:rsid w:val="00EB4B65"/>
    <w:rsid w:val="00EE26A5"/>
    <w:rsid w:val="00EF468D"/>
    <w:rsid w:val="00F06976"/>
    <w:rsid w:val="00F07F2B"/>
    <w:rsid w:val="00F23BC1"/>
    <w:rsid w:val="00F40D63"/>
    <w:rsid w:val="00F65AAB"/>
    <w:rsid w:val="00FC15EA"/>
    <w:rsid w:val="00FC7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4CB6-9ED6-4819-AA66-D5BBC24D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